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35" w:rsidRDefault="00A14E35" w:rsidP="007405D1">
      <w:pPr>
        <w:shd w:val="clear" w:color="auto" w:fill="FFFFFF"/>
        <w:spacing w:after="60"/>
        <w:outlineLvl w:val="0"/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uk-UA"/>
        </w:rPr>
      </w:pPr>
      <w:r w:rsidRPr="00A14E35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uk-UA"/>
        </w:rPr>
        <w:t xml:space="preserve">МІНІСТЕРСТВО ЮСТИЦІЇ КОНСУЛЬТУЄ В РАМКАХ ПРОЄКТУ «Я МАЮ ПРАВО!»:  що потрібно знати про </w:t>
      </w:r>
      <w:bookmarkStart w:id="0" w:name="_GoBack"/>
      <w:r w:rsidRPr="00A14E35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uk-UA"/>
        </w:rPr>
        <w:t>договір довічного утримання</w:t>
      </w:r>
      <w:r w:rsidR="007405D1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uk-UA"/>
        </w:rPr>
        <w:t xml:space="preserve"> </w:t>
      </w:r>
      <w:bookmarkEnd w:id="0"/>
      <w:r w:rsidR="007405D1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uk-UA"/>
        </w:rPr>
        <w:t>(догляду)</w:t>
      </w:r>
      <w:r w:rsidRPr="00A14E35">
        <w:rPr>
          <w:rFonts w:ascii="Times New Roman" w:eastAsia="Times New Roman" w:hAnsi="Times New Roman"/>
          <w:b/>
          <w:color w:val="000000"/>
          <w:kern w:val="36"/>
          <w:sz w:val="26"/>
          <w:szCs w:val="26"/>
          <w:lang w:eastAsia="uk-UA"/>
        </w:rPr>
        <w:t>?</w:t>
      </w:r>
    </w:p>
    <w:p w:rsidR="00E43C03" w:rsidRPr="00512FED" w:rsidRDefault="007405D1" w:rsidP="007405D1">
      <w:pPr>
        <w:shd w:val="clear" w:color="auto" w:fill="FFFFFF"/>
        <w:spacing w:after="60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Багатьом </w:t>
      </w:r>
      <w:r w:rsidR="00146485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 нас </w:t>
      </w:r>
      <w:r w:rsidRPr="00512FED">
        <w:rPr>
          <w:rFonts w:ascii="Times New Roman" w:hAnsi="Times New Roman" w:cs="Times New Roman"/>
          <w:i/>
          <w:color w:val="000000"/>
          <w:sz w:val="24"/>
          <w:szCs w:val="24"/>
        </w:rPr>
        <w:t>знайома ситуація, коли літні люди</w:t>
      </w:r>
      <w:r w:rsidR="00E43C03" w:rsidRPr="00512FE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43C03" w:rsidRPr="00512FED">
        <w:rPr>
          <w:rFonts w:ascii="Times New Roman" w:hAnsi="Times New Roman" w:cs="Times New Roman"/>
          <w:i/>
          <w:color w:val="000000"/>
          <w:sz w:val="24"/>
          <w:szCs w:val="24"/>
        </w:rPr>
        <w:t>які не спроможні самі забезпечувати власні потреби,  змушені звертатися за допомогою до сторо</w:t>
      </w:r>
      <w:r w:rsidR="00E95ABA">
        <w:rPr>
          <w:rFonts w:ascii="Times New Roman" w:hAnsi="Times New Roman" w:cs="Times New Roman"/>
          <w:i/>
          <w:color w:val="000000"/>
          <w:sz w:val="24"/>
          <w:szCs w:val="24"/>
        </w:rPr>
        <w:t>нніх осіб. В більшості випадків на користь цих осіб</w:t>
      </w:r>
      <w:r w:rsidR="00E43C03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укладаються договори, </w:t>
      </w:r>
      <w:r w:rsidR="00E95ABA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E43C03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результаті чого вони стають власниками нерухомого майна, а літні люди залишаються на вулиці. </w:t>
      </w:r>
      <w:r w:rsidR="00DF0D3F">
        <w:rPr>
          <w:rFonts w:ascii="Times New Roman" w:hAnsi="Times New Roman" w:cs="Times New Roman"/>
          <w:i/>
          <w:color w:val="000000"/>
          <w:sz w:val="24"/>
          <w:szCs w:val="24"/>
        </w:rPr>
        <w:t>Юридична необізнаність громадян</w:t>
      </w:r>
      <w:r w:rsidR="00DF0D3F" w:rsidRPr="00DF0D3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E43C03" w:rsidRPr="00512FED">
        <w:rPr>
          <w:rFonts w:ascii="Times New Roman" w:hAnsi="Times New Roman" w:cs="Times New Roman"/>
          <w:i/>
          <w:color w:val="000000"/>
          <w:sz w:val="24"/>
          <w:szCs w:val="24"/>
        </w:rPr>
        <w:t>є головною причиною</w:t>
      </w:r>
      <w:r w:rsidR="00512FED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</w:t>
      </w:r>
      <w:r w:rsidR="00DF0D3F">
        <w:rPr>
          <w:rFonts w:ascii="Times New Roman" w:hAnsi="Times New Roman" w:cs="Times New Roman"/>
          <w:i/>
          <w:color w:val="000000"/>
          <w:sz w:val="24"/>
          <w:szCs w:val="24"/>
        </w:rPr>
        <w:t>аких</w:t>
      </w:r>
      <w:r w:rsidR="00512FED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негативних наслідків</w:t>
      </w:r>
      <w:r w:rsidR="00E43C03" w:rsidRPr="00512FE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12FED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Таким чином виникає питання</w:t>
      </w:r>
      <w:r w:rsidR="00512FE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512FED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як уберегти себе від шахраїв та відчу</w:t>
      </w:r>
      <w:r w:rsidR="00DF0D3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ти </w:t>
      </w:r>
      <w:r w:rsidR="00512FED" w:rsidRPr="00512F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захищеність? </w:t>
      </w:r>
    </w:p>
    <w:p w:rsidR="00EC1090" w:rsidRPr="00EC1090" w:rsidRDefault="00EC1090" w:rsidP="00A14E35">
      <w:p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C1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Що таке договір довічного утримання?</w:t>
      </w:r>
    </w:p>
    <w:p w:rsidR="00EC1090" w:rsidRPr="00D5733F" w:rsidRDefault="00EC1090" w:rsidP="00D5733F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3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Договір довічного утримання (догляду)</w:t>
      </w:r>
      <w:r w:rsidRPr="00D5733F">
        <w:rPr>
          <w:rFonts w:ascii="Times New Roman" w:eastAsia="Times New Roman" w:hAnsi="Times New Roman" w:cs="Times New Roman"/>
          <w:sz w:val="24"/>
          <w:szCs w:val="24"/>
          <w:lang w:eastAsia="uk-UA"/>
        </w:rPr>
        <w:t> - домовленість двох сторін, за якою одна сторона (</w:t>
      </w:r>
      <w:proofErr w:type="spellStart"/>
      <w:r w:rsidRPr="00D5733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</w:t>
      </w:r>
      <w:proofErr w:type="spellEnd"/>
      <w:r w:rsidRPr="00D5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передає у власність другій стороні (набувачеві) житловий будинок, квартиру або їх частину, інше нерухоме або рухоме майно, яке має значну цінність, взамін чого набувач зобов'язується забезпечувати </w:t>
      </w:r>
      <w:proofErr w:type="spellStart"/>
      <w:r w:rsidRPr="00D5733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відчужувача</w:t>
      </w:r>
      <w:proofErr w:type="spellEnd"/>
      <w:r w:rsidRPr="00D5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утриманням та (або) доглядом довічно.</w:t>
      </w:r>
    </w:p>
    <w:p w:rsidR="00EC1090" w:rsidRPr="00D5733F" w:rsidRDefault="00EC1090" w:rsidP="00D5733F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33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Договір довічного утримання вважається укла</w:t>
      </w:r>
      <w:r w:rsidR="00850DC4" w:rsidRPr="00D5733F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деним з моменту передання майна.</w:t>
      </w:r>
    </w:p>
    <w:p w:rsidR="00EC1090" w:rsidRPr="00A14E35" w:rsidRDefault="00A14E35" w:rsidP="00A14E35">
      <w:p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Хто є сторонами у даному договорі?</w:t>
      </w:r>
    </w:p>
    <w:p w:rsidR="00D5733F" w:rsidRDefault="009C1B4C" w:rsidP="00D5733F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Сторонами договору є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відчужувач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 та набувач. </w:t>
      </w:r>
      <w:proofErr w:type="spellStart"/>
      <w:r w:rsidR="00EC1090" w:rsidRPr="009C1B4C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Відчужувач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ем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може бути </w:t>
      </w:r>
      <w:r w:rsidR="00EC1090" w:rsidRPr="009C1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фізична особа незалежно від віку та стану здоров’я.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C1090" w:rsidRPr="009C1B4C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Набувач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ем може бути</w:t>
      </w:r>
      <w:r w:rsidR="00A14E35" w:rsidRPr="009C1B4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="00EC1090" w:rsidRPr="009C1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фізична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(кілька фізичних осіб) </w:t>
      </w:r>
      <w:r w:rsidR="00EC1090" w:rsidRPr="009C1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5733F" w:rsidRPr="009C1B4C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  <w:r w:rsidR="00EC1090" w:rsidRPr="009C1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юридична особа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C1090" w:rsidRPr="009C1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C1090" w:rsidRPr="00EC1090" w:rsidRDefault="00A14E35" w:rsidP="00A14E35">
      <w:p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Яка ф</w:t>
      </w:r>
      <w:r w:rsidR="00EC1090"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орма укладення договору довічного утримання</w:t>
      </w:r>
      <w:r w:rsidR="00D573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?</w:t>
      </w:r>
    </w:p>
    <w:p w:rsidR="00D946D2" w:rsidRPr="004B3D91" w:rsidRDefault="00A14E35" w:rsidP="007405D1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договору </w:t>
      </w:r>
      <w:r w:rsidR="00EC1090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довічного утримання (догляду) </w:t>
      </w:r>
      <w:r w:rsidR="00EC1090"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передбачена</w:t>
      </w:r>
      <w:r w:rsidR="00EC1090" w:rsidRPr="004B3D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="00EC1090" w:rsidRPr="004B3D9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  <w:t>обов’язкова письмова форма та нотаріальне посвідчення</w:t>
      </w:r>
      <w:r w:rsidRPr="004B3D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="00EC1090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Недотримання </w:t>
      </w:r>
      <w:r w:rsidR="00D946D2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цієї</w:t>
      </w:r>
      <w:r w:rsidR="00EC1090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вимоги тягне за собою визнання договору </w:t>
      </w:r>
      <w:hyperlink r:id="rId6" w:history="1">
        <w:r w:rsidR="00EC1090" w:rsidRPr="004B3D91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недійсним</w:t>
        </w:r>
      </w:hyperlink>
      <w:r w:rsidR="00EC1090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:rsidR="00D946D2" w:rsidRPr="004B3D91" w:rsidRDefault="00D946D2" w:rsidP="007405D1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свою чергу, </w:t>
      </w:r>
      <w:hyperlink r:id="rId7" w:history="1">
        <w:r w:rsidRPr="004B3D91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</w:t>
        </w:r>
        <w:r w:rsidR="00EC1090" w:rsidRPr="004B3D91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отаріус, завіряючи договір</w:t>
        </w:r>
      </w:hyperlink>
      <w:r w:rsidR="00EC1090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повинен перевірити документи, необхідні для відчуження майна.</w:t>
      </w:r>
      <w:r w:rsidR="00A14E35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C1090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предметом договору є нерухомість, то такий договір підлягає </w:t>
      </w:r>
      <w:hyperlink r:id="rId8" w:history="1">
        <w:r w:rsidR="00EC1090" w:rsidRPr="004B3D91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обов’язковій державній реєстрації</w:t>
        </w:r>
      </w:hyperlink>
      <w:r w:rsidR="00EC1090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EC1090" w:rsidRPr="00EC1090" w:rsidRDefault="00D5733F" w:rsidP="00A14E35">
      <w:p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Які о</w:t>
      </w:r>
      <w:r w:rsidR="00EC1090"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бов’язки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покладаються на </w:t>
      </w:r>
      <w:r w:rsidR="005F2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сторони </w:t>
      </w:r>
      <w:r w:rsidR="00EC1090"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 договором довічного утримання (догляду)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?</w:t>
      </w:r>
    </w:p>
    <w:p w:rsidR="00D946D2" w:rsidRPr="004B3D91" w:rsidRDefault="00EC1090" w:rsidP="004B3D91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договору полягає у надання всіх видів матеріального забезпечення у натурі відповідно до змісту договору. При укладанні договору довічного утримання сторони повинні визначити всі види матеріального забезпечення, обсяг, способи </w:t>
      </w:r>
      <w:r w:rsidR="004B3D91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форми</w:t>
      </w:r>
      <w:r w:rsidR="005F27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F27B8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догляду, їх періодичність, якість та змі</w:t>
      </w:r>
      <w:r w:rsidR="005F27B8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 w:rsidR="005F27B8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наприклад:</w:t>
      </w:r>
      <w:r w:rsidR="004B3D91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946D2" w:rsidRPr="004B3D91" w:rsidRDefault="00EC1090" w:rsidP="004B3D91">
      <w:pPr>
        <w:pStyle w:val="a5"/>
        <w:numPr>
          <w:ilvl w:val="0"/>
          <w:numId w:val="3"/>
        </w:num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і кількість харчування – скільки разів на добу, кал</w:t>
      </w:r>
      <w:r w:rsidR="00D946D2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орійність та окремі елементи;</w:t>
      </w:r>
    </w:p>
    <w:p w:rsidR="00D946D2" w:rsidRPr="004B3D91" w:rsidRDefault="00EC1090" w:rsidP="004B3D91">
      <w:pPr>
        <w:pStyle w:val="a5"/>
        <w:numPr>
          <w:ilvl w:val="0"/>
          <w:numId w:val="3"/>
        </w:num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медичне обслуговування – вид послуги медичного обслуго</w:t>
      </w:r>
      <w:r w:rsidR="00D946D2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вування, які ліки необхідні, їх </w:t>
      </w:r>
      <w:r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кі</w:t>
      </w:r>
      <w:r w:rsidR="00D946D2"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лькість і приблизна вартість;</w:t>
      </w:r>
    </w:p>
    <w:p w:rsidR="00EC1090" w:rsidRPr="004B3D91" w:rsidRDefault="00EC1090" w:rsidP="004B3D91">
      <w:pPr>
        <w:pStyle w:val="a5"/>
        <w:numPr>
          <w:ilvl w:val="0"/>
          <w:numId w:val="3"/>
        </w:num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матеріальне забезпечення - чітко визначена грошова сума,</w:t>
      </w:r>
      <w:r w:rsidR="005F27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черговість виплат грошових сум тощо.</w:t>
      </w:r>
    </w:p>
    <w:p w:rsidR="00D946D2" w:rsidRDefault="009809E6" w:rsidP="009809E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="00C658EC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разі смерті </w:t>
      </w:r>
      <w:proofErr w:type="spellStart"/>
      <w:r w:rsidR="00C658EC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відчужувача</w:t>
      </w:r>
      <w:proofErr w:type="spellEnd"/>
      <w:r w:rsidR="00C658EC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C1090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набувач зобов’язаний поховати його, навіть якщо це не було передбачено договором довічного утримання</w:t>
      </w:r>
      <w:r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C1090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частина майна </w:t>
      </w:r>
      <w:proofErr w:type="spellStart"/>
      <w:r w:rsidR="00EC1090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відчужувача</w:t>
      </w:r>
      <w:proofErr w:type="spellEnd"/>
      <w:r w:rsidR="00EC1090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перейшла до його спадкоємців, витрати на його поховання мають бути справедливо роз</w:t>
      </w:r>
      <w:r w:rsidR="00D946D2" w:rsidRPr="009809E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поділені між ними та набувачем.</w:t>
      </w:r>
    </w:p>
    <w:p w:rsidR="007405D1" w:rsidRPr="009809E6" w:rsidRDefault="007405D1" w:rsidP="009809E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 договором довічного утримання можливий перехід обов’язків набувача у разі його смерті до спадкоємців, яким надходить відчужуване за договором майно. Якщо спадкоємці відмовляються від майна, воно повертається </w:t>
      </w:r>
      <w:proofErr w:type="spellStart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відчужувачу</w:t>
      </w:r>
      <w:proofErr w:type="spellEnd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, а договір вважається припиненим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C1090" w:rsidRPr="00EC1090" w:rsidRDefault="009809E6" w:rsidP="009809E6">
      <w:pPr>
        <w:spacing w:before="240" w:after="6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Якщо договір </w:t>
      </w:r>
      <w:r w:rsidR="00EC1090"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довічного утримання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укладений </w:t>
      </w:r>
      <w:r w:rsidR="00EC1090"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щодо майна, що є у спільній сумісній власності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?</w:t>
      </w:r>
    </w:p>
    <w:p w:rsidR="009809E6" w:rsidRPr="007405D1" w:rsidRDefault="00EC1090" w:rsidP="009809E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Майно, що належить кільком фізичним особам чи подружжю (або одному з подружжя) на праві спільної сумісної власності, може бути відчужене на підставі договору довічного утримання. </w:t>
      </w:r>
    </w:p>
    <w:p w:rsidR="00850DC4" w:rsidRPr="007405D1" w:rsidRDefault="00EC1090" w:rsidP="009809E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Співвласники майна, а також подружжя за договором довічного утримання повинні передати набувачеві майно, останній, у свою чергу, повинен надати </w:t>
      </w:r>
      <w:proofErr w:type="spellStart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відчужувачам</w:t>
      </w:r>
      <w:proofErr w:type="spellEnd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(кожному окремо) належне утримання. </w:t>
      </w:r>
    </w:p>
    <w:p w:rsidR="00850DC4" w:rsidRPr="007405D1" w:rsidRDefault="00EC1090" w:rsidP="009809E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смерті одного із </w:t>
      </w:r>
      <w:proofErr w:type="spellStart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відчужувачів</w:t>
      </w:r>
      <w:proofErr w:type="spellEnd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оскільки виконання було призначене безпосередньо особисто для </w:t>
      </w:r>
      <w:proofErr w:type="spellStart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відчужувача</w:t>
      </w:r>
      <w:proofErr w:type="spellEnd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, договір припиняється. Набувач у свою чергу продовжує утримуват</w:t>
      </w:r>
      <w:r w:rsidR="00850DC4"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</w:t>
      </w:r>
      <w:r w:rsidR="009809E6"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іншого </w:t>
      </w:r>
      <w:r w:rsidR="00850DC4"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співвласника, який залишився.</w:t>
      </w:r>
    </w:p>
    <w:p w:rsidR="00EC1090" w:rsidRPr="007405D1" w:rsidRDefault="00EC1090" w:rsidP="009809E6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proofErr w:type="spellStart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відчужувачем</w:t>
      </w:r>
      <w:proofErr w:type="spellEnd"/>
      <w:r w:rsidRPr="0074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один із співвласників майна, що належить їм на праві спільної сумісної власності, договір довічного утримання (догляду) може бути укладений після визначення частки цього співвласника у спільному майні або визначення між співвласниками порядку користування цим майном.</w:t>
      </w:r>
    </w:p>
    <w:p w:rsidR="00EC1090" w:rsidRPr="00EC1090" w:rsidRDefault="00D5733F" w:rsidP="00A14E35">
      <w:p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Яким чином вносяться </w:t>
      </w:r>
      <w:r w:rsidR="00EC1090"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змін</w:t>
      </w:r>
      <w:r w:rsidR="005F2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и</w:t>
      </w:r>
      <w:r w:rsidR="00EC1090" w:rsidRPr="00A1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до договору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?</w:t>
      </w:r>
    </w:p>
    <w:p w:rsidR="007405D1" w:rsidRPr="00512FED" w:rsidRDefault="00EC1090" w:rsidP="00512FED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27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Сторони в договорі можуть передбачати заміну майна, яке було передане набувачеві. Тобто набувач та </w:t>
      </w:r>
      <w:proofErr w:type="spellStart"/>
      <w:r w:rsidRPr="005F27B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</w:t>
      </w:r>
      <w:proofErr w:type="spellEnd"/>
      <w:r w:rsidRPr="005F27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певних обставин, які виникли у процесі дії договору довічного утримання можуть домовитися про заміну речі на іншу. У цьому разі обсяг обов’язків набувача може бути за домовленістю сторін змінений або залишений незмінним.</w:t>
      </w:r>
    </w:p>
    <w:p w:rsidR="00EC1090" w:rsidRPr="007405D1" w:rsidRDefault="00D5733F" w:rsidP="007405D1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405D1">
        <w:rPr>
          <w:rFonts w:ascii="Times New Roman" w:hAnsi="Times New Roman" w:cs="Times New Roman"/>
          <w:b/>
          <w:sz w:val="24"/>
          <w:szCs w:val="24"/>
          <w:lang w:eastAsia="uk-UA"/>
        </w:rPr>
        <w:t>Коли п</w:t>
      </w:r>
      <w:r w:rsidR="00EC1090" w:rsidRPr="007405D1">
        <w:rPr>
          <w:rFonts w:ascii="Times New Roman" w:hAnsi="Times New Roman" w:cs="Times New Roman"/>
          <w:b/>
          <w:sz w:val="24"/>
          <w:szCs w:val="24"/>
          <w:lang w:eastAsia="uk-UA"/>
        </w:rPr>
        <w:t>рипин</w:t>
      </w:r>
      <w:r w:rsidRPr="007405D1">
        <w:rPr>
          <w:rFonts w:ascii="Times New Roman" w:hAnsi="Times New Roman" w:cs="Times New Roman"/>
          <w:b/>
          <w:sz w:val="24"/>
          <w:szCs w:val="24"/>
          <w:lang w:eastAsia="uk-UA"/>
        </w:rPr>
        <w:t>яється дія договору?</w:t>
      </w:r>
    </w:p>
    <w:p w:rsidR="007405D1" w:rsidRPr="007405D1" w:rsidRDefault="007405D1" w:rsidP="007405D1">
      <w:pPr>
        <w:rPr>
          <w:rFonts w:ascii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hAnsi="Times New Roman" w:cs="Times New Roman"/>
          <w:sz w:val="24"/>
          <w:szCs w:val="24"/>
          <w:lang w:eastAsia="uk-UA"/>
        </w:rPr>
        <w:t xml:space="preserve">Смерть </w:t>
      </w:r>
      <w:proofErr w:type="spellStart"/>
      <w:r w:rsidRPr="007405D1">
        <w:rPr>
          <w:rFonts w:ascii="Times New Roman" w:hAnsi="Times New Roman" w:cs="Times New Roman"/>
          <w:sz w:val="24"/>
          <w:szCs w:val="24"/>
          <w:lang w:eastAsia="uk-UA"/>
        </w:rPr>
        <w:t>відчужувача</w:t>
      </w:r>
      <w:proofErr w:type="spellEnd"/>
      <w:r w:rsidRPr="007405D1">
        <w:rPr>
          <w:rFonts w:ascii="Times New Roman" w:hAnsi="Times New Roman" w:cs="Times New Roman"/>
          <w:sz w:val="24"/>
          <w:szCs w:val="24"/>
          <w:lang w:eastAsia="uk-UA"/>
        </w:rPr>
        <w:t xml:space="preserve"> майна є однією з умов припинення договору довічного утримання.</w:t>
      </w:r>
    </w:p>
    <w:p w:rsidR="00EC1090" w:rsidRPr="007405D1" w:rsidRDefault="00EC1090" w:rsidP="007405D1">
      <w:pPr>
        <w:rPr>
          <w:rFonts w:ascii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hAnsi="Times New Roman" w:cs="Times New Roman"/>
          <w:sz w:val="24"/>
          <w:szCs w:val="24"/>
          <w:lang w:eastAsia="uk-UA"/>
        </w:rPr>
        <w:t>Договір довічного утримання може бути </w:t>
      </w:r>
      <w:r w:rsidRPr="007405D1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розірваний</w:t>
      </w:r>
      <w:r w:rsidRPr="007405D1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4F3511" w:rsidRPr="007405D1">
        <w:rPr>
          <w:rFonts w:ascii="Times New Roman" w:hAnsi="Times New Roman" w:cs="Times New Roman"/>
          <w:sz w:val="24"/>
          <w:szCs w:val="24"/>
          <w:lang w:eastAsia="uk-UA"/>
        </w:rPr>
        <w:t xml:space="preserve">лише </w:t>
      </w:r>
      <w:r w:rsidRPr="007405D1">
        <w:rPr>
          <w:rFonts w:ascii="Times New Roman" w:hAnsi="Times New Roman" w:cs="Times New Roman"/>
          <w:sz w:val="24"/>
          <w:szCs w:val="24"/>
          <w:lang w:eastAsia="uk-UA"/>
        </w:rPr>
        <w:t>на підставі рішення суду:</w:t>
      </w:r>
    </w:p>
    <w:p w:rsidR="00EC1090" w:rsidRPr="007405D1" w:rsidRDefault="00EC1090" w:rsidP="007405D1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hAnsi="Times New Roman" w:cs="Times New Roman"/>
          <w:sz w:val="24"/>
          <w:szCs w:val="24"/>
          <w:lang w:eastAsia="uk-UA"/>
        </w:rPr>
        <w:t xml:space="preserve">на вимогу </w:t>
      </w:r>
      <w:proofErr w:type="spellStart"/>
      <w:r w:rsidRPr="007405D1">
        <w:rPr>
          <w:rFonts w:ascii="Times New Roman" w:hAnsi="Times New Roman" w:cs="Times New Roman"/>
          <w:sz w:val="24"/>
          <w:szCs w:val="24"/>
          <w:lang w:eastAsia="uk-UA"/>
        </w:rPr>
        <w:t>відчужувача</w:t>
      </w:r>
      <w:proofErr w:type="spellEnd"/>
      <w:r w:rsidRPr="007405D1">
        <w:rPr>
          <w:rFonts w:ascii="Times New Roman" w:hAnsi="Times New Roman" w:cs="Times New Roman"/>
          <w:sz w:val="24"/>
          <w:szCs w:val="24"/>
          <w:lang w:eastAsia="uk-UA"/>
        </w:rPr>
        <w:t xml:space="preserve"> або третьої особи у разі невиконання або неналежного виконання набувачем своїх обов’язків, незалежно від їх вини;</w:t>
      </w:r>
    </w:p>
    <w:p w:rsidR="007405D1" w:rsidRPr="00512FED" w:rsidRDefault="00EC1090" w:rsidP="00512FE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7405D1">
        <w:rPr>
          <w:rFonts w:ascii="Times New Roman" w:hAnsi="Times New Roman" w:cs="Times New Roman"/>
          <w:sz w:val="24"/>
          <w:szCs w:val="24"/>
          <w:lang w:eastAsia="uk-UA"/>
        </w:rPr>
        <w:t>на вимогу набувача.</w:t>
      </w:r>
    </w:p>
    <w:p w:rsidR="002A6413" w:rsidRPr="007405D1" w:rsidRDefault="002A6413" w:rsidP="005F27B8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7405D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Однак, варто пам’ятати: </w:t>
      </w:r>
    </w:p>
    <w:p w:rsidR="00EC1090" w:rsidRPr="00911518" w:rsidRDefault="002A6413" w:rsidP="00911518">
      <w:pPr>
        <w:pStyle w:val="a5"/>
        <w:numPr>
          <w:ilvl w:val="0"/>
          <w:numId w:val="10"/>
        </w:num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EC1090"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евиконання обов’язків або неналежне виконання обов’язків не завжди призводить до припинення договору. </w:t>
      </w:r>
      <w:proofErr w:type="spellStart"/>
      <w:r w:rsidR="00EC1090"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Відчужувач</w:t>
      </w:r>
      <w:proofErr w:type="spellEnd"/>
      <w:r w:rsidR="00EC1090"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вправі пред’явити позов про відшкодування збитків. У винятковому випадку існує можливість подати позов не про припинення дії договору довічного утримання, а про обов’язок набувача виконати в натурі обов’язки, взяті на себе, або про стягнення грошової компенсації всіх видів матеріального забезпечення, вказаних у договорі</w:t>
      </w:r>
      <w:r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2A6413" w:rsidRPr="002A6413" w:rsidRDefault="002A6413" w:rsidP="00911518">
      <w:pPr>
        <w:pStyle w:val="a5"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2FED" w:rsidRDefault="002A6413" w:rsidP="00A14E35">
      <w:pPr>
        <w:pStyle w:val="a5"/>
        <w:numPr>
          <w:ilvl w:val="0"/>
          <w:numId w:val="10"/>
        </w:num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EC1090"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абувач вправі припинити договір тільки в тому випадку, коли через незалежні від нього обставини його майнове становище змінилося настільки, що він не в змозі надавати набувачеві належне матеріальне забезпечення, обумовлене в договорі. У разі розірвання договору у зв’язку з неможливістю його подальшого виконання набувачем з підстав, що мають істотне значення, суд може залишити за набувачем право власності </w:t>
      </w:r>
      <w:r w:rsidR="00EC1090" w:rsidRPr="0091151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 частину майна, з урахуванням тривалості часу, протягом якого він належно виконував свої обов’язки за договором.</w:t>
      </w:r>
    </w:p>
    <w:p w:rsidR="00083A34" w:rsidRPr="00512FED" w:rsidRDefault="00512FED" w:rsidP="00512FED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Яка </w:t>
      </w:r>
      <w:r w:rsidR="001006BD" w:rsidRPr="00512FED">
        <w:rPr>
          <w:rFonts w:ascii="Times New Roman" w:hAnsi="Times New Roman" w:cs="Times New Roman"/>
          <w:b/>
          <w:sz w:val="24"/>
          <w:szCs w:val="24"/>
        </w:rPr>
        <w:t>відмінність між договором довічного утримання, договором дарування та заповітом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a6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984"/>
        <w:gridCol w:w="1844"/>
        <w:gridCol w:w="1842"/>
        <w:gridCol w:w="1843"/>
      </w:tblGrid>
      <w:tr w:rsidR="008B2D07" w:rsidRPr="00083A34" w:rsidTr="008B2D07">
        <w:tc>
          <w:tcPr>
            <w:tcW w:w="1418" w:type="dxa"/>
          </w:tcPr>
          <w:p w:rsidR="00083A34" w:rsidRPr="0084200A" w:rsidRDefault="0084200A" w:rsidP="008420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84200A">
              <w:rPr>
                <w:rFonts w:ascii="Times New Roman" w:hAnsi="Times New Roman" w:cs="Times New Roman"/>
                <w:i/>
                <w:sz w:val="20"/>
                <w:szCs w:val="20"/>
              </w:rPr>
              <w:t>окумент</w:t>
            </w:r>
          </w:p>
        </w:tc>
        <w:tc>
          <w:tcPr>
            <w:tcW w:w="2268" w:type="dxa"/>
          </w:tcPr>
          <w:p w:rsidR="00083A34" w:rsidRPr="0084200A" w:rsidRDefault="00083A34" w:rsidP="008420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00A">
              <w:rPr>
                <w:rFonts w:ascii="Times New Roman" w:hAnsi="Times New Roman" w:cs="Times New Roman"/>
                <w:i/>
                <w:sz w:val="20"/>
                <w:szCs w:val="20"/>
              </w:rPr>
              <w:t>Суть</w:t>
            </w:r>
          </w:p>
        </w:tc>
        <w:tc>
          <w:tcPr>
            <w:tcW w:w="1984" w:type="dxa"/>
          </w:tcPr>
          <w:p w:rsidR="00083A34" w:rsidRPr="0084200A" w:rsidRDefault="00083A34" w:rsidP="008420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00A">
              <w:rPr>
                <w:rFonts w:ascii="Times New Roman" w:hAnsi="Times New Roman" w:cs="Times New Roman"/>
                <w:i/>
                <w:sz w:val="20"/>
                <w:szCs w:val="20"/>
              </w:rPr>
              <w:t>Право власності на майно після підписання</w:t>
            </w:r>
          </w:p>
        </w:tc>
        <w:tc>
          <w:tcPr>
            <w:tcW w:w="1844" w:type="dxa"/>
          </w:tcPr>
          <w:p w:rsidR="00083A34" w:rsidRPr="0084200A" w:rsidRDefault="00E34508" w:rsidP="008420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Внесення</w:t>
            </w:r>
            <w:proofErr w:type="spellEnd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змін</w:t>
            </w:r>
            <w:proofErr w:type="spellEnd"/>
          </w:p>
        </w:tc>
        <w:tc>
          <w:tcPr>
            <w:tcW w:w="1842" w:type="dxa"/>
          </w:tcPr>
          <w:p w:rsidR="00083A34" w:rsidRPr="0084200A" w:rsidRDefault="00F872E2" w:rsidP="008420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Розірвання</w:t>
            </w:r>
            <w:proofErr w:type="spellEnd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договору</w:t>
            </w:r>
          </w:p>
        </w:tc>
        <w:tc>
          <w:tcPr>
            <w:tcW w:w="1843" w:type="dxa"/>
          </w:tcPr>
          <w:p w:rsidR="00083A34" w:rsidRPr="0084200A" w:rsidRDefault="0084200A" w:rsidP="008420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Умова</w:t>
            </w:r>
            <w:proofErr w:type="spellEnd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надання</w:t>
            </w:r>
            <w:proofErr w:type="spellEnd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84200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ідтримки</w:t>
            </w:r>
            <w:proofErr w:type="spellEnd"/>
          </w:p>
        </w:tc>
      </w:tr>
      <w:tr w:rsidR="008B2D07" w:rsidRPr="00083A34" w:rsidTr="008B2D07">
        <w:trPr>
          <w:trHeight w:val="4163"/>
        </w:trPr>
        <w:tc>
          <w:tcPr>
            <w:tcW w:w="1418" w:type="dxa"/>
          </w:tcPr>
          <w:p w:rsidR="00083A34" w:rsidRPr="0011526C" w:rsidRDefault="00083A34" w:rsidP="0011526C">
            <w:pPr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52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Договір довічного утримання </w:t>
            </w:r>
          </w:p>
        </w:tc>
        <w:tc>
          <w:tcPr>
            <w:tcW w:w="2268" w:type="dxa"/>
          </w:tcPr>
          <w:p w:rsidR="008B2D07" w:rsidRPr="008B2D07" w:rsidRDefault="0084200A" w:rsidP="008B2D07">
            <w:pPr>
              <w:spacing w:before="120" w:after="120" w:line="276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spellStart"/>
            <w:r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r w:rsidR="00083A34"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ідчужувач</w:t>
            </w:r>
            <w:proofErr w:type="spellEnd"/>
            <w:r w:rsidR="00083A34"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передає у власність набувачеві житловий будинок, квартиру або їх частину, інше нерухоме або рухоме майно, яке має значну цінність, взамін чого набувач зобов'язується забезпечувати </w:t>
            </w:r>
            <w:proofErr w:type="spellStart"/>
            <w:r w:rsidR="00083A34"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відчужувача</w:t>
            </w:r>
            <w:proofErr w:type="spellEnd"/>
            <w:r w:rsidR="00083A34"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утриманням та (або) доглядом довічно.</w:t>
            </w:r>
          </w:p>
        </w:tc>
        <w:tc>
          <w:tcPr>
            <w:tcW w:w="1984" w:type="dxa"/>
          </w:tcPr>
          <w:p w:rsidR="0084200A" w:rsidRPr="0011526C" w:rsidRDefault="00083A34" w:rsidP="0011526C">
            <w:pPr>
              <w:pStyle w:val="a5"/>
              <w:numPr>
                <w:ilvl w:val="0"/>
                <w:numId w:val="5"/>
              </w:numPr>
              <w:spacing w:before="120" w:after="12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Право власності на майно переходить набувачу. </w:t>
            </w:r>
          </w:p>
          <w:p w:rsidR="00083A34" w:rsidRPr="0011526C" w:rsidRDefault="00083A34" w:rsidP="0011526C">
            <w:pPr>
              <w:pStyle w:val="a5"/>
              <w:numPr>
                <w:ilvl w:val="0"/>
                <w:numId w:val="5"/>
              </w:numPr>
              <w:spacing w:before="120" w:after="12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Але набувач до смерті </w:t>
            </w:r>
            <w:proofErr w:type="spellStart"/>
            <w:r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відчужувача</w:t>
            </w:r>
            <w:proofErr w:type="spellEnd"/>
            <w:r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="0011526C"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</w:t>
            </w:r>
            <w:r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не має право  </w:t>
            </w:r>
            <w:r w:rsidR="0011526C"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продавати, </w:t>
            </w:r>
            <w:r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дарувати, міняти, передавати в заставу таке майно</w:t>
            </w:r>
            <w:r w:rsidR="0084200A" w:rsidRPr="0011526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</w:t>
            </w:r>
          </w:p>
          <w:p w:rsidR="00083A34" w:rsidRPr="0011526C" w:rsidRDefault="00083A34" w:rsidP="0011526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</w:tcPr>
          <w:p w:rsidR="00083A34" w:rsidRPr="0011526C" w:rsidRDefault="0084200A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F872E2" w:rsidRPr="0011526C">
              <w:rPr>
                <w:rFonts w:ascii="Times New Roman" w:hAnsi="Times New Roman" w:cs="Times New Roman"/>
                <w:sz w:val="21"/>
                <w:szCs w:val="21"/>
              </w:rPr>
              <w:t xml:space="preserve"> процесі дії договору довічного утримання сторони можуть домовитися про заміну майна на інше і у зв’язку з цим на зміну обов’язків набувача майна</w:t>
            </w: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42" w:type="dxa"/>
          </w:tcPr>
          <w:p w:rsidR="00083A34" w:rsidRPr="0011526C" w:rsidRDefault="00F872E2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>Договір може бути розірваний за рішенням суду</w:t>
            </w:r>
          </w:p>
        </w:tc>
        <w:tc>
          <w:tcPr>
            <w:tcW w:w="1843" w:type="dxa"/>
          </w:tcPr>
          <w:p w:rsidR="00083A34" w:rsidRPr="0011526C" w:rsidRDefault="0084200A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>Набувач майна зобов’язаний</w:t>
            </w:r>
            <w:r w:rsidR="0011526C" w:rsidRPr="0011526C">
              <w:rPr>
                <w:rFonts w:ascii="Times New Roman" w:hAnsi="Times New Roman" w:cs="Times New Roman"/>
                <w:sz w:val="21"/>
                <w:szCs w:val="21"/>
              </w:rPr>
              <w:t xml:space="preserve"> забезпечувати </w:t>
            </w:r>
            <w:proofErr w:type="spellStart"/>
            <w:r w:rsidR="0011526C" w:rsidRPr="0011526C">
              <w:rPr>
                <w:rFonts w:ascii="Times New Roman" w:hAnsi="Times New Roman" w:cs="Times New Roman"/>
                <w:sz w:val="21"/>
                <w:szCs w:val="21"/>
              </w:rPr>
              <w:t>відчу</w:t>
            </w: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>жувача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</w:rPr>
              <w:t xml:space="preserve"> довічним утриманням</w:t>
            </w:r>
          </w:p>
        </w:tc>
      </w:tr>
      <w:tr w:rsidR="008B2D07" w:rsidRPr="00083A34" w:rsidTr="008B2D07">
        <w:tc>
          <w:tcPr>
            <w:tcW w:w="1418" w:type="dxa"/>
          </w:tcPr>
          <w:p w:rsidR="00083A34" w:rsidRPr="0011526C" w:rsidRDefault="00083A34" w:rsidP="0011526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52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Договір дарування </w:t>
            </w:r>
          </w:p>
        </w:tc>
        <w:tc>
          <w:tcPr>
            <w:tcW w:w="2268" w:type="dxa"/>
          </w:tcPr>
          <w:p w:rsidR="00083A34" w:rsidRPr="0011526C" w:rsidRDefault="0011526C" w:rsidP="008B2D07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083A34" w:rsidRPr="0011526C">
              <w:rPr>
                <w:rFonts w:ascii="Times New Roman" w:hAnsi="Times New Roman" w:cs="Times New Roman"/>
                <w:sz w:val="21"/>
                <w:szCs w:val="21"/>
              </w:rPr>
              <w:t xml:space="preserve">арувальник передає або зобов’язується передати </w:t>
            </w: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83A34" w:rsidRPr="0011526C">
              <w:rPr>
                <w:rFonts w:ascii="Times New Roman" w:hAnsi="Times New Roman" w:cs="Times New Roman"/>
                <w:sz w:val="21"/>
                <w:szCs w:val="21"/>
              </w:rPr>
              <w:t>в майбутньому обдарованому  безоплатно майно (дарунок) у власність</w:t>
            </w:r>
          </w:p>
          <w:p w:rsidR="00083A34" w:rsidRPr="0011526C" w:rsidRDefault="00083A34" w:rsidP="008B2D07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8B2D07" w:rsidRDefault="00E34508" w:rsidP="008B2D07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Право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власності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майно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переходить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обдарованому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який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має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право</w:t>
            </w:r>
            <w:r w:rsidR="008B2D07"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8B2D07" w:rsidRDefault="008B2D07" w:rsidP="008B2D07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B2D07" w:rsidRDefault="00E34508" w:rsidP="008B2D07">
            <w:pPr>
              <w:pStyle w:val="a5"/>
              <w:numPr>
                <w:ilvl w:val="0"/>
                <w:numId w:val="13"/>
              </w:numPr>
              <w:spacing w:line="276" w:lineRule="auto"/>
              <w:ind w:left="176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вимагати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передачі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йому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майна</w:t>
            </w:r>
            <w:r w:rsid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8B2D07" w:rsidRDefault="00E34508" w:rsidP="008B2D07">
            <w:pPr>
              <w:pStyle w:val="a5"/>
              <w:numPr>
                <w:ilvl w:val="0"/>
                <w:numId w:val="13"/>
              </w:numPr>
              <w:spacing w:line="276" w:lineRule="auto"/>
              <w:ind w:left="176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проживати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подарованому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будинку</w:t>
            </w:r>
            <w:proofErr w:type="spellEnd"/>
            <w:r w:rsid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8B2D07" w:rsidRDefault="00E34508" w:rsidP="008B2D07">
            <w:pPr>
              <w:pStyle w:val="a5"/>
              <w:numPr>
                <w:ilvl w:val="0"/>
                <w:numId w:val="13"/>
              </w:numPr>
              <w:spacing w:line="276" w:lineRule="auto"/>
              <w:ind w:left="176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вимагати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від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дарувальника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висилитися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із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житла</w:t>
            </w:r>
            <w:proofErr w:type="spellEnd"/>
            <w:r w:rsid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083A34" w:rsidRPr="008B2D07" w:rsidRDefault="00E34508" w:rsidP="008B2D07">
            <w:pPr>
              <w:pStyle w:val="a5"/>
              <w:numPr>
                <w:ilvl w:val="0"/>
                <w:numId w:val="13"/>
              </w:numPr>
              <w:spacing w:line="276" w:lineRule="auto"/>
              <w:ind w:left="176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заборонити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дарувальнику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користуватися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майном</w:t>
            </w:r>
            <w:proofErr w:type="spellEnd"/>
            <w:r w:rsidRP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E34508" w:rsidRPr="0011526C" w:rsidRDefault="00E34508" w:rsidP="008B2D07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</w:tcPr>
          <w:p w:rsidR="00083A34" w:rsidRPr="0011526C" w:rsidRDefault="00F872E2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Внесення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змін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до</w:t>
            </w:r>
            <w:proofErr w:type="gram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договору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законодавством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не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передбачено</w:t>
            </w:r>
            <w:proofErr w:type="spellEnd"/>
          </w:p>
        </w:tc>
        <w:tc>
          <w:tcPr>
            <w:tcW w:w="1842" w:type="dxa"/>
          </w:tcPr>
          <w:p w:rsidR="00083A34" w:rsidRPr="0011526C" w:rsidRDefault="00F872E2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Догові</w:t>
            </w:r>
            <w:proofErr w:type="gram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</w:t>
            </w:r>
            <w:proofErr w:type="spellEnd"/>
            <w:proofErr w:type="gram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дарування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мо</w:t>
            </w:r>
            <w:r w:rsidR="0011526C"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же</w:t>
            </w:r>
            <w:proofErr w:type="spellEnd"/>
            <w:r w:rsidR="0011526C"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бути </w:t>
            </w:r>
            <w:proofErr w:type="spellStart"/>
            <w:r w:rsidR="0011526C"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розірваний</w:t>
            </w:r>
            <w:proofErr w:type="spellEnd"/>
            <w:r w:rsidR="0011526C"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11526C"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дарувальником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</w:p>
          <w:p w:rsidR="00F872E2" w:rsidRPr="0011526C" w:rsidRDefault="00F872E2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F872E2" w:rsidRPr="00D5733F" w:rsidRDefault="0011526C" w:rsidP="008B2D07">
            <w:pPr>
              <w:pStyle w:val="a5"/>
              <w:numPr>
                <w:ilvl w:val="0"/>
                <w:numId w:val="6"/>
              </w:num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щ</w:t>
            </w:r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одо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нерухоми</w:t>
            </w:r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х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речей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чи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іншого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цінного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майна</w:t>
            </w:r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якщо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обдарований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умисно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вчинив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злочин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проти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життя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здоров'я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власності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дарувальника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його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родичі</w:t>
            </w:r>
            <w:proofErr w:type="gram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</w:t>
            </w:r>
            <w:proofErr w:type="spellEnd"/>
            <w:proofErr w:type="gram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F872E2" w:rsidRPr="0011526C" w:rsidRDefault="00F872E2" w:rsidP="008B2D07">
            <w:p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F872E2" w:rsidRPr="00D5733F" w:rsidRDefault="0011526C" w:rsidP="008B2D07">
            <w:pPr>
              <w:pStyle w:val="a5"/>
              <w:numPr>
                <w:ilvl w:val="0"/>
                <w:numId w:val="6"/>
              </w:num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</w:t>
            </w:r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кщо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обдаровуваний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вчини</w:t>
            </w:r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в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умисне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вбивство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дарувальника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спадкоємці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дарувальника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мають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право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вимагати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розірвати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догові</w:t>
            </w:r>
            <w:proofErr w:type="gram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</w:t>
            </w:r>
            <w:proofErr w:type="spellEnd"/>
            <w:proofErr w:type="gramEnd"/>
            <w:r w:rsid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F872E2" w:rsidRDefault="00F872E2" w:rsidP="008B2D07">
            <w:p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B2D07" w:rsidRPr="0011526C" w:rsidRDefault="008B2D07" w:rsidP="008B2D07">
            <w:p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F872E2" w:rsidRPr="00D5733F" w:rsidRDefault="0011526C" w:rsidP="008B2D07">
            <w:pPr>
              <w:pStyle w:val="a5"/>
              <w:numPr>
                <w:ilvl w:val="0"/>
                <w:numId w:val="6"/>
              </w:num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>якщо</w:t>
            </w:r>
            <w:proofErr w:type="spellEnd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обдаровуваний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створює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загрозу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безповоротної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втрати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дарунка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що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має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дарувальника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велику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немайнову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цінність</w:t>
            </w:r>
            <w:proofErr w:type="spellEnd"/>
            <w:r w:rsid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;</w:t>
            </w:r>
          </w:p>
          <w:p w:rsidR="00F872E2" w:rsidRPr="0011526C" w:rsidRDefault="00F872E2" w:rsidP="008B2D07">
            <w:p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F872E2" w:rsidRDefault="0011526C" w:rsidP="008B2D07">
            <w:pPr>
              <w:pStyle w:val="a5"/>
              <w:numPr>
                <w:ilvl w:val="0"/>
                <w:numId w:val="6"/>
              </w:numPr>
              <w:spacing w:line="276" w:lineRule="auto"/>
              <w:ind w:left="175" w:hanging="142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</w:t>
            </w:r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кщо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внаслідок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недбалого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ставлення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обдаровуваного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до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речі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що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становить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історичну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наукову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культурну</w:t>
            </w:r>
            <w:proofErr w:type="spellEnd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F872E2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цінність</w:t>
            </w:r>
            <w:proofErr w:type="spellEnd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може</w:t>
            </w:r>
            <w:proofErr w:type="spellEnd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бути </w:t>
            </w:r>
            <w:proofErr w:type="spellStart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знищена</w:t>
            </w:r>
            <w:proofErr w:type="spellEnd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або</w:t>
            </w:r>
            <w:proofErr w:type="spellEnd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істотно</w:t>
            </w:r>
            <w:proofErr w:type="spellEnd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84200A" w:rsidRPr="00D573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пошкоджена</w:t>
            </w:r>
            <w:proofErr w:type="spellEnd"/>
          </w:p>
          <w:p w:rsidR="0084200A" w:rsidRPr="0011526C" w:rsidRDefault="0084200A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:rsidR="00083A34" w:rsidRPr="0011526C" w:rsidRDefault="0084200A" w:rsidP="0011526C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lastRenderedPageBreak/>
              <w:t xml:space="preserve">За </w:t>
            </w:r>
            <w:proofErr w:type="spellStart"/>
            <w:r w:rsidR="008B2D07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домовлені</w:t>
            </w:r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стю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сторін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але без права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вимоги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такої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proofErr w:type="gram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</w:t>
            </w:r>
            <w:proofErr w:type="gram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ідтримки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від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іншої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сторони</w:t>
            </w:r>
            <w:proofErr w:type="spellEnd"/>
          </w:p>
        </w:tc>
      </w:tr>
      <w:tr w:rsidR="008B2D07" w:rsidRPr="00083A34" w:rsidTr="008B2D07">
        <w:tc>
          <w:tcPr>
            <w:tcW w:w="1418" w:type="dxa"/>
          </w:tcPr>
          <w:p w:rsidR="00083A34" w:rsidRPr="00D5733F" w:rsidRDefault="00083A34" w:rsidP="0011526C">
            <w:pPr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33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 Заповіт </w:t>
            </w:r>
          </w:p>
        </w:tc>
        <w:tc>
          <w:tcPr>
            <w:tcW w:w="2268" w:type="dxa"/>
          </w:tcPr>
          <w:p w:rsidR="00083A34" w:rsidRPr="0011526C" w:rsidRDefault="00083A34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</w:rPr>
              <w:t>Особисте розпорядження фізичної особи на випадок своєї смерті</w:t>
            </w:r>
          </w:p>
          <w:p w:rsidR="00083A34" w:rsidRPr="0011526C" w:rsidRDefault="00083A34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83A34" w:rsidRPr="0011526C" w:rsidRDefault="00083A34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083A34" w:rsidRPr="0011526C" w:rsidRDefault="00E34508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Право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власності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  на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майно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залишається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спадкодавця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.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Спадкоєцям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таке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право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перейде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лише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proofErr w:type="gram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</w:t>
            </w:r>
            <w:proofErr w:type="gram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ісля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смерті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спадкодавця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</w:p>
          <w:p w:rsidR="00E34508" w:rsidRPr="0011526C" w:rsidRDefault="00E34508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</w:tcPr>
          <w:p w:rsidR="00083A34" w:rsidRPr="0011526C" w:rsidRDefault="00F872E2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Зміни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можуть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вноситися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в будь-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який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час</w:t>
            </w:r>
          </w:p>
        </w:tc>
        <w:tc>
          <w:tcPr>
            <w:tcW w:w="1842" w:type="dxa"/>
          </w:tcPr>
          <w:p w:rsidR="0084200A" w:rsidRPr="0011526C" w:rsidRDefault="0084200A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 будь-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який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час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заповіт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може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бути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скасований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або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складений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новий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заповіт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що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автоматично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скасовує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попередній</w:t>
            </w:r>
            <w:proofErr w:type="spellEnd"/>
          </w:p>
        </w:tc>
        <w:tc>
          <w:tcPr>
            <w:tcW w:w="1843" w:type="dxa"/>
          </w:tcPr>
          <w:p w:rsidR="00083A34" w:rsidRPr="0011526C" w:rsidRDefault="0084200A" w:rsidP="00D5733F">
            <w:pPr>
              <w:spacing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За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домовленістю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сторін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, але без права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вимоги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такої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proofErr w:type="gram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</w:t>
            </w:r>
            <w:proofErr w:type="gram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ідтримки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від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іншої</w:t>
            </w:r>
            <w:proofErr w:type="spellEnd"/>
            <w:r w:rsidRPr="0011526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особи</w:t>
            </w:r>
          </w:p>
        </w:tc>
      </w:tr>
    </w:tbl>
    <w:p w:rsidR="00083A34" w:rsidRDefault="00083A34" w:rsidP="00A14E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B2D07" w:rsidRPr="00AF1373" w:rsidRDefault="008B2D07" w:rsidP="008B2D07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uk-UA"/>
        </w:rPr>
      </w:pPr>
      <w:r w:rsidRPr="00AF13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8B2D07" w:rsidRPr="00D1716C" w:rsidRDefault="008B2D07" w:rsidP="008B2D07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F137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AF1373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0 (800) 213 103</w:t>
      </w:r>
      <w:r w:rsidRPr="00AF137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8B2D07" w:rsidRDefault="008B2D07" w:rsidP="008B2D07"/>
    <w:p w:rsidR="008B2D07" w:rsidRPr="008B2D07" w:rsidRDefault="008B2D07" w:rsidP="00A14E35">
      <w:pPr>
        <w:rPr>
          <w:rFonts w:ascii="Times New Roman" w:hAnsi="Times New Roman" w:cs="Times New Roman"/>
          <w:sz w:val="24"/>
          <w:szCs w:val="24"/>
        </w:rPr>
      </w:pPr>
    </w:p>
    <w:sectPr w:rsidR="008B2D07" w:rsidRPr="008B2D07" w:rsidSect="00512FE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8ED"/>
    <w:multiLevelType w:val="hybridMultilevel"/>
    <w:tmpl w:val="4404D0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70E7E"/>
    <w:multiLevelType w:val="hybridMultilevel"/>
    <w:tmpl w:val="4E72E1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425C1"/>
    <w:multiLevelType w:val="multilevel"/>
    <w:tmpl w:val="340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25A01"/>
    <w:multiLevelType w:val="hybridMultilevel"/>
    <w:tmpl w:val="2AB6FB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562EB"/>
    <w:multiLevelType w:val="multilevel"/>
    <w:tmpl w:val="5C5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B947DC"/>
    <w:multiLevelType w:val="hybridMultilevel"/>
    <w:tmpl w:val="1A0A4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B8F"/>
    <w:multiLevelType w:val="hybridMultilevel"/>
    <w:tmpl w:val="72326EBE"/>
    <w:lvl w:ilvl="0" w:tplc="A72A8A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65038"/>
    <w:multiLevelType w:val="hybridMultilevel"/>
    <w:tmpl w:val="6B1C9B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C3672"/>
    <w:multiLevelType w:val="hybridMultilevel"/>
    <w:tmpl w:val="D5720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26B35"/>
    <w:multiLevelType w:val="hybridMultilevel"/>
    <w:tmpl w:val="419A08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666B2"/>
    <w:multiLevelType w:val="hybridMultilevel"/>
    <w:tmpl w:val="24DA0780"/>
    <w:lvl w:ilvl="0" w:tplc="A72A8A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A69A7"/>
    <w:multiLevelType w:val="hybridMultilevel"/>
    <w:tmpl w:val="D674A9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86B9F"/>
    <w:multiLevelType w:val="hybridMultilevel"/>
    <w:tmpl w:val="1A0A4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90"/>
    <w:rsid w:val="00083A34"/>
    <w:rsid w:val="001006BD"/>
    <w:rsid w:val="0011526C"/>
    <w:rsid w:val="00146485"/>
    <w:rsid w:val="00163189"/>
    <w:rsid w:val="002A6413"/>
    <w:rsid w:val="004B3D91"/>
    <w:rsid w:val="004F3511"/>
    <w:rsid w:val="00512FED"/>
    <w:rsid w:val="005F27B8"/>
    <w:rsid w:val="00631526"/>
    <w:rsid w:val="007405D1"/>
    <w:rsid w:val="0084200A"/>
    <w:rsid w:val="00850DC4"/>
    <w:rsid w:val="008B2D07"/>
    <w:rsid w:val="00911518"/>
    <w:rsid w:val="009809E6"/>
    <w:rsid w:val="009C1B4C"/>
    <w:rsid w:val="00A14E35"/>
    <w:rsid w:val="00A34EA2"/>
    <w:rsid w:val="00B43255"/>
    <w:rsid w:val="00B85F3D"/>
    <w:rsid w:val="00C30CCD"/>
    <w:rsid w:val="00C658EC"/>
    <w:rsid w:val="00D10434"/>
    <w:rsid w:val="00D5733F"/>
    <w:rsid w:val="00D946D2"/>
    <w:rsid w:val="00DF0D3F"/>
    <w:rsid w:val="00E34508"/>
    <w:rsid w:val="00E43C03"/>
    <w:rsid w:val="00E95ABA"/>
    <w:rsid w:val="00EC1090"/>
    <w:rsid w:val="00F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paragraph" w:styleId="1">
    <w:name w:val="heading 1"/>
    <w:basedOn w:val="a"/>
    <w:link w:val="10"/>
    <w:uiPriority w:val="9"/>
    <w:qFormat/>
    <w:rsid w:val="00EC109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C109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0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C10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rovedandlatestmsg">
    <w:name w:val="approvedandlatestmsg"/>
    <w:basedOn w:val="a0"/>
    <w:rsid w:val="00EC1090"/>
  </w:style>
  <w:style w:type="character" w:customStyle="1" w:styleId="approvinguser">
    <w:name w:val="approvinguser"/>
    <w:basedOn w:val="a0"/>
    <w:rsid w:val="00EC1090"/>
  </w:style>
  <w:style w:type="character" w:styleId="a3">
    <w:name w:val="Hyperlink"/>
    <w:basedOn w:val="a0"/>
    <w:uiPriority w:val="99"/>
    <w:semiHidden/>
    <w:unhideWhenUsed/>
    <w:rsid w:val="00EC1090"/>
    <w:rPr>
      <w:color w:val="0000FF"/>
      <w:u w:val="single"/>
    </w:rPr>
  </w:style>
  <w:style w:type="character" w:customStyle="1" w:styleId="toctoggle">
    <w:name w:val="toctoggle"/>
    <w:basedOn w:val="a0"/>
    <w:rsid w:val="00EC1090"/>
  </w:style>
  <w:style w:type="character" w:customStyle="1" w:styleId="tocnumber">
    <w:name w:val="tocnumber"/>
    <w:basedOn w:val="a0"/>
    <w:rsid w:val="00EC1090"/>
  </w:style>
  <w:style w:type="character" w:customStyle="1" w:styleId="toctext">
    <w:name w:val="toctext"/>
    <w:basedOn w:val="a0"/>
    <w:rsid w:val="00EC1090"/>
  </w:style>
  <w:style w:type="character" w:customStyle="1" w:styleId="mw-headline">
    <w:name w:val="mw-headline"/>
    <w:basedOn w:val="a0"/>
    <w:rsid w:val="00EC1090"/>
  </w:style>
  <w:style w:type="paragraph" w:styleId="a4">
    <w:name w:val="Normal (Web)"/>
    <w:basedOn w:val="a"/>
    <w:uiPriority w:val="99"/>
    <w:semiHidden/>
    <w:unhideWhenUsed/>
    <w:rsid w:val="00EC10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946D2"/>
    <w:pPr>
      <w:ind w:left="720"/>
      <w:contextualSpacing/>
    </w:pPr>
  </w:style>
  <w:style w:type="table" w:styleId="a6">
    <w:name w:val="Table Grid"/>
    <w:basedOn w:val="a1"/>
    <w:uiPriority w:val="59"/>
    <w:rsid w:val="00083A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1151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paragraph" w:styleId="1">
    <w:name w:val="heading 1"/>
    <w:basedOn w:val="a"/>
    <w:link w:val="10"/>
    <w:uiPriority w:val="9"/>
    <w:qFormat/>
    <w:rsid w:val="00EC109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C109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0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C10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rovedandlatestmsg">
    <w:name w:val="approvedandlatestmsg"/>
    <w:basedOn w:val="a0"/>
    <w:rsid w:val="00EC1090"/>
  </w:style>
  <w:style w:type="character" w:customStyle="1" w:styleId="approvinguser">
    <w:name w:val="approvinguser"/>
    <w:basedOn w:val="a0"/>
    <w:rsid w:val="00EC1090"/>
  </w:style>
  <w:style w:type="character" w:styleId="a3">
    <w:name w:val="Hyperlink"/>
    <w:basedOn w:val="a0"/>
    <w:uiPriority w:val="99"/>
    <w:semiHidden/>
    <w:unhideWhenUsed/>
    <w:rsid w:val="00EC1090"/>
    <w:rPr>
      <w:color w:val="0000FF"/>
      <w:u w:val="single"/>
    </w:rPr>
  </w:style>
  <w:style w:type="character" w:customStyle="1" w:styleId="toctoggle">
    <w:name w:val="toctoggle"/>
    <w:basedOn w:val="a0"/>
    <w:rsid w:val="00EC1090"/>
  </w:style>
  <w:style w:type="character" w:customStyle="1" w:styleId="tocnumber">
    <w:name w:val="tocnumber"/>
    <w:basedOn w:val="a0"/>
    <w:rsid w:val="00EC1090"/>
  </w:style>
  <w:style w:type="character" w:customStyle="1" w:styleId="toctext">
    <w:name w:val="toctext"/>
    <w:basedOn w:val="a0"/>
    <w:rsid w:val="00EC1090"/>
  </w:style>
  <w:style w:type="character" w:customStyle="1" w:styleId="mw-headline">
    <w:name w:val="mw-headline"/>
    <w:basedOn w:val="a0"/>
    <w:rsid w:val="00EC1090"/>
  </w:style>
  <w:style w:type="paragraph" w:styleId="a4">
    <w:name w:val="Normal (Web)"/>
    <w:basedOn w:val="a"/>
    <w:uiPriority w:val="99"/>
    <w:semiHidden/>
    <w:unhideWhenUsed/>
    <w:rsid w:val="00EC10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946D2"/>
    <w:pPr>
      <w:ind w:left="720"/>
      <w:contextualSpacing/>
    </w:pPr>
  </w:style>
  <w:style w:type="table" w:styleId="a6">
    <w:name w:val="Table Grid"/>
    <w:basedOn w:val="a1"/>
    <w:uiPriority w:val="59"/>
    <w:rsid w:val="00083A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115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320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4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6792347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legalaid.gov.ua:8555/index.php/%D0%94%D0%B5%D1%80%D0%B6%D0%B0%D0%B2%D0%BD%D0%B0_%D1%80%D0%B5%D1%94%D1%81%D1%82%D1%80%D0%B0%D1%86%D1%96%D1%8F_%D1%80%D0%B5%D1%87%D0%BE%D0%B2%D0%B8%D1%85_%D0%BF%D1%80%D0%B0%D0%B2_%D0%BD%D0%B0_%D0%BD%D0%B5%D1%80%D1%83%D1%85%D0%BE%D0%BC%D0%B5_%D0%BC%D0%B0%D0%B9%D0%BD%D0%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iki.legalaid.gov.ua:8555/index.php/%D0%9D%D0%BE%D1%82%D0%B0%D1%80%D1%96%D0%B0%D0%BB%D1%8C%D0%BD%D0%B5_%D0%BF%D0%BE%D1%81%D0%B2%D1%96%D0%B4%D1%87%D0%B5%D0%BD%D0%BD%D1%8F_%D0%BF%D1%80%D0%B0%D0%B2%D0%BE%D1%87%D0%B8%D0%BD%D1%96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legalaid.gov.ua:8555/index.php/%D0%92%D0%B8%D0%B7%D0%BD%D0%B0%D0%BD%D0%BD%D1%8F_%D0%BF%D1%80%D0%B0%D0%B2%D0%BE%D1%87%D0%B8%D0%BD%D1%83_%D0%BD%D0%B5%D0%B4%D1%96%D0%B9%D1%81%D0%BD%D0%B8%D0%B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Admin</cp:lastModifiedBy>
  <cp:revision>2</cp:revision>
  <dcterms:created xsi:type="dcterms:W3CDTF">2019-10-15T11:52:00Z</dcterms:created>
  <dcterms:modified xsi:type="dcterms:W3CDTF">2019-10-15T11:52:00Z</dcterms:modified>
</cp:coreProperties>
</file>